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C3321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F5312F" w:rsidRDefault="00F5312F">
            <w:pPr>
              <w:jc w:val="right"/>
              <w:rPr>
                <w:rFonts w:ascii="Arial" w:hAnsi="Arial"/>
                <w:sz w:val="12"/>
                <w:szCs w:val="12"/>
              </w:rPr>
            </w:pPr>
            <w:r w:rsidRPr="00F5312F">
              <w:rPr>
                <w:rFonts w:ascii="Arial" w:hAnsi="Arial"/>
                <w:sz w:val="12"/>
                <w:szCs w:val="12"/>
              </w:rPr>
              <w:t>M-00051865</w:t>
            </w:r>
          </w:p>
        </w:tc>
      </w:tr>
    </w:tbl>
    <w:p w:rsidR="00C74A51" w:rsidRDefault="00C74A51">
      <w:pPr>
        <w:rPr>
          <w:sz w:val="24"/>
        </w:rPr>
        <w:sectPr w:rsidR="00C74A51" w:rsidSect="009E40EC">
          <w:footerReference w:type="even" r:id="rId9"/>
          <w:footerReference w:type="default" r:id="rId10"/>
          <w:pgSz w:w="12240" w:h="15840"/>
          <w:pgMar w:top="504" w:right="1440" w:bottom="1440" w:left="1440" w:header="720" w:footer="720" w:gutter="0"/>
          <w:cols w:space="720"/>
          <w:titlePg/>
        </w:sectPr>
      </w:pPr>
    </w:p>
    <w:p w:rsidR="00F635FA" w:rsidRDefault="001C2031" w:rsidP="00FA0E37">
      <w:pPr>
        <w:jc w:val="center"/>
        <w:rPr>
          <w:sz w:val="26"/>
          <w:szCs w:val="26"/>
        </w:rPr>
      </w:pPr>
      <w:r>
        <w:rPr>
          <w:sz w:val="26"/>
          <w:szCs w:val="26"/>
        </w:rPr>
        <w:lastRenderedPageBreak/>
        <w:t>May 21, 2010</w:t>
      </w:r>
    </w:p>
    <w:p w:rsidR="001E1BF3" w:rsidRPr="009E40EC" w:rsidRDefault="001E1BF3" w:rsidP="00FA0E37">
      <w:pPr>
        <w:jc w:val="center"/>
        <w:rPr>
          <w:b/>
          <w:sz w:val="26"/>
          <w:szCs w:val="26"/>
        </w:rPr>
      </w:pPr>
    </w:p>
    <w:p w:rsidR="004D2698" w:rsidRDefault="00C3321B" w:rsidP="00BE4A72">
      <w:pPr>
        <w:rPr>
          <w:sz w:val="26"/>
          <w:szCs w:val="26"/>
        </w:rPr>
      </w:pPr>
      <w:r>
        <w:rPr>
          <w:sz w:val="26"/>
          <w:szCs w:val="26"/>
        </w:rPr>
        <w:t>To:</w:t>
      </w:r>
      <w:r>
        <w:rPr>
          <w:sz w:val="26"/>
          <w:szCs w:val="26"/>
        </w:rPr>
        <w:tab/>
        <w:t>All Interested Parties</w:t>
      </w:r>
    </w:p>
    <w:p w:rsidR="00BE4A72" w:rsidRDefault="00BE4A72" w:rsidP="00BE4A72">
      <w:pPr>
        <w:rPr>
          <w:sz w:val="26"/>
          <w:szCs w:val="26"/>
        </w:rPr>
      </w:pPr>
    </w:p>
    <w:p w:rsidR="00F635FA" w:rsidRDefault="00F635FA" w:rsidP="00BE4A72">
      <w:pPr>
        <w:rPr>
          <w:sz w:val="26"/>
          <w:szCs w:val="26"/>
        </w:rPr>
      </w:pPr>
    </w:p>
    <w:p w:rsidR="009B23D8" w:rsidRDefault="00C77F29" w:rsidP="009E40EC">
      <w:pPr>
        <w:rPr>
          <w:sz w:val="26"/>
          <w:szCs w:val="26"/>
        </w:rPr>
      </w:pPr>
      <w:r>
        <w:rPr>
          <w:sz w:val="26"/>
          <w:szCs w:val="26"/>
        </w:rPr>
        <w:tab/>
      </w:r>
      <w:r w:rsidR="009B23D8">
        <w:rPr>
          <w:sz w:val="26"/>
          <w:szCs w:val="26"/>
        </w:rPr>
        <w:t>Re:</w:t>
      </w:r>
      <w:r>
        <w:rPr>
          <w:sz w:val="26"/>
          <w:szCs w:val="26"/>
        </w:rPr>
        <w:tab/>
      </w:r>
      <w:r w:rsidR="00C3321B">
        <w:rPr>
          <w:sz w:val="26"/>
          <w:szCs w:val="26"/>
        </w:rPr>
        <w:t>Act 129 Fuel Switching Working Group Staff Report</w:t>
      </w:r>
    </w:p>
    <w:p w:rsidR="00C3321B" w:rsidRDefault="00C3321B" w:rsidP="009E40EC">
      <w:pPr>
        <w:rPr>
          <w:sz w:val="26"/>
          <w:szCs w:val="26"/>
        </w:rPr>
      </w:pPr>
      <w:r>
        <w:rPr>
          <w:sz w:val="26"/>
          <w:szCs w:val="26"/>
        </w:rPr>
        <w:tab/>
      </w:r>
      <w:r>
        <w:rPr>
          <w:sz w:val="26"/>
          <w:szCs w:val="26"/>
        </w:rPr>
        <w:tab/>
        <w:t>Docket No. M</w:t>
      </w:r>
      <w:r>
        <w:rPr>
          <w:sz w:val="26"/>
          <w:szCs w:val="26"/>
        </w:rPr>
        <w:noBreakHyphen/>
        <w:t>00051865</w:t>
      </w:r>
    </w:p>
    <w:p w:rsidR="00C90506" w:rsidRDefault="00C90506" w:rsidP="009E40EC">
      <w:pPr>
        <w:rPr>
          <w:sz w:val="26"/>
          <w:szCs w:val="26"/>
        </w:rPr>
      </w:pPr>
    </w:p>
    <w:p w:rsidR="002F3C49" w:rsidRPr="002F3C49" w:rsidRDefault="002F3C49" w:rsidP="002F3C49">
      <w:pPr>
        <w:ind w:firstLine="720"/>
        <w:rPr>
          <w:sz w:val="26"/>
          <w:szCs w:val="26"/>
        </w:rPr>
      </w:pPr>
      <w:r w:rsidRPr="002F3C49">
        <w:rPr>
          <w:sz w:val="26"/>
          <w:szCs w:val="26"/>
        </w:rPr>
        <w:t xml:space="preserve">Act 129 of 2008 (Act 129) was signed into law on October 15, 2008, setting forth goals for reducing energy consumption and demand.  Among other things, Act 129 amended the Public Utility Code to require the implementation of Energy Efficiency and Conservation (EE&amp;C) plans by affected electric distribution companies (EDCs), after review and approval by the Public Utility Commission (Commission). </w:t>
      </w:r>
    </w:p>
    <w:p w:rsidR="002F3C49" w:rsidRPr="002F3C49" w:rsidRDefault="002F3C49" w:rsidP="002F3C49">
      <w:pPr>
        <w:spacing w:line="360" w:lineRule="auto"/>
        <w:ind w:firstLine="720"/>
        <w:rPr>
          <w:sz w:val="26"/>
          <w:szCs w:val="26"/>
        </w:rPr>
      </w:pPr>
    </w:p>
    <w:p w:rsidR="00BE4A72" w:rsidRDefault="002F3C49" w:rsidP="00D625E2">
      <w:pPr>
        <w:ind w:firstLine="720"/>
        <w:rPr>
          <w:sz w:val="26"/>
          <w:szCs w:val="26"/>
        </w:rPr>
      </w:pPr>
      <w:r w:rsidRPr="002F3C49">
        <w:rPr>
          <w:sz w:val="26"/>
          <w:szCs w:val="26"/>
        </w:rPr>
        <w:t xml:space="preserve">The Fuel Switching Working Group (FSWG or Working Group) was initiated by the Commission in June 2009 in the </w:t>
      </w:r>
      <w:r w:rsidRPr="002F3C49">
        <w:rPr>
          <w:i/>
          <w:sz w:val="26"/>
          <w:szCs w:val="26"/>
        </w:rPr>
        <w:t>Implementation of the Alternative Energy Portfolio Standards Act of 2004:  Standards for the Participation of Demand Side Management Resources – Technical Reference Manual</w:t>
      </w:r>
      <w:r w:rsidRPr="002F3C49">
        <w:rPr>
          <w:sz w:val="26"/>
          <w:szCs w:val="26"/>
        </w:rPr>
        <w:t xml:space="preserve"> (TRM) proceeding at Docket No. M</w:t>
      </w:r>
      <w:r w:rsidRPr="002F3C49">
        <w:rPr>
          <w:sz w:val="26"/>
          <w:szCs w:val="26"/>
        </w:rPr>
        <w:noBreakHyphen/>
        <w:t>00051856.  The initial charge of the Working Group was to identify, research and address issues related to fuel switching with the possibility of the inclusion of fuel switching related deemed energy savings in future versions of the TRM.  In its Orders</w:t>
      </w:r>
      <w:r w:rsidRPr="002F3C49">
        <w:rPr>
          <w:rStyle w:val="FootnoteReference"/>
          <w:sz w:val="26"/>
          <w:szCs w:val="26"/>
        </w:rPr>
        <w:footnoteReference w:id="1"/>
      </w:r>
      <w:r w:rsidRPr="002F3C49">
        <w:rPr>
          <w:sz w:val="26"/>
          <w:szCs w:val="26"/>
        </w:rPr>
        <w:t xml:space="preserve"> ruling on the EDCs’ EE&amp;C plans, the Commission directed the FSWG to provide recommendations by March 31, 2010 on whether changes to the TRM or Total Resource Cost test (TRC test) are justified.  The Commission subsequently extended this due date to April 30, 2010.</w:t>
      </w:r>
    </w:p>
    <w:p w:rsidR="000850CF" w:rsidRDefault="000850CF" w:rsidP="002F3C49">
      <w:pPr>
        <w:rPr>
          <w:sz w:val="26"/>
          <w:szCs w:val="26"/>
        </w:rPr>
      </w:pPr>
    </w:p>
    <w:p w:rsidR="002F3C49" w:rsidRPr="000850CF" w:rsidRDefault="00C77F29" w:rsidP="00A325FC">
      <w:pPr>
        <w:rPr>
          <w:sz w:val="26"/>
          <w:szCs w:val="26"/>
        </w:rPr>
      </w:pPr>
      <w:r>
        <w:rPr>
          <w:sz w:val="26"/>
          <w:szCs w:val="26"/>
        </w:rPr>
        <w:tab/>
      </w:r>
      <w:r w:rsidR="002F3C49" w:rsidRPr="000850CF">
        <w:rPr>
          <w:sz w:val="26"/>
          <w:szCs w:val="26"/>
        </w:rPr>
        <w:t xml:space="preserve">The Commission issued a </w:t>
      </w:r>
      <w:r w:rsidR="002F3C49" w:rsidRPr="00F544A5">
        <w:rPr>
          <w:sz w:val="26"/>
          <w:szCs w:val="26"/>
        </w:rPr>
        <w:t>Secretarial Letter</w:t>
      </w:r>
      <w:r w:rsidR="002F3C49" w:rsidRPr="000850CF">
        <w:rPr>
          <w:sz w:val="26"/>
          <w:szCs w:val="26"/>
        </w:rPr>
        <w:t xml:space="preserve"> on December 10, 2010, setting </w:t>
      </w:r>
      <w:r w:rsidR="00E5798C">
        <w:rPr>
          <w:sz w:val="26"/>
          <w:szCs w:val="26"/>
        </w:rPr>
        <w:t>a</w:t>
      </w:r>
      <w:r w:rsidR="002F3C49" w:rsidRPr="000850CF">
        <w:rPr>
          <w:sz w:val="26"/>
          <w:szCs w:val="26"/>
        </w:rPr>
        <w:t xml:space="preserve"> Working Group meeting for January 6, 2010, and </w:t>
      </w:r>
      <w:r w:rsidR="00E5798C">
        <w:rPr>
          <w:sz w:val="26"/>
          <w:szCs w:val="26"/>
        </w:rPr>
        <w:t>listing</w:t>
      </w:r>
      <w:r w:rsidR="002F3C49" w:rsidRPr="000850CF">
        <w:rPr>
          <w:sz w:val="26"/>
          <w:szCs w:val="26"/>
        </w:rPr>
        <w:t xml:space="preserve"> questions for the Working Group to address.  Participants at the January 6, 2010 meeting, included representatives from EDCs, natural gas distribution companies (NGDCs), industry trade associations, consumer advocacy groups, the statutory advocates and Commission staff.  </w:t>
      </w:r>
      <w:r w:rsidR="00816124">
        <w:rPr>
          <w:sz w:val="26"/>
          <w:szCs w:val="26"/>
        </w:rPr>
        <w:t xml:space="preserve">The </w:t>
      </w:r>
      <w:r w:rsidR="00973DD6">
        <w:rPr>
          <w:sz w:val="26"/>
          <w:szCs w:val="26"/>
        </w:rPr>
        <w:t>FSWG</w:t>
      </w:r>
      <w:r w:rsidR="00816124">
        <w:rPr>
          <w:sz w:val="26"/>
          <w:szCs w:val="26"/>
        </w:rPr>
        <w:t xml:space="preserve"> </w:t>
      </w:r>
      <w:r w:rsidR="00E5798C">
        <w:rPr>
          <w:sz w:val="26"/>
          <w:szCs w:val="26"/>
        </w:rPr>
        <w:t>also</w:t>
      </w:r>
      <w:r w:rsidR="00816124">
        <w:rPr>
          <w:sz w:val="26"/>
          <w:szCs w:val="26"/>
        </w:rPr>
        <w:t xml:space="preserve"> met on February 26, 2010.  As part of the </w:t>
      </w:r>
      <w:r w:rsidR="00973DD6">
        <w:rPr>
          <w:sz w:val="26"/>
          <w:szCs w:val="26"/>
        </w:rPr>
        <w:t>FSWG</w:t>
      </w:r>
      <w:r w:rsidR="00816124">
        <w:rPr>
          <w:sz w:val="26"/>
          <w:szCs w:val="26"/>
        </w:rPr>
        <w:t xml:space="preserve"> process</w:t>
      </w:r>
      <w:r w:rsidR="00A325FC">
        <w:rPr>
          <w:sz w:val="26"/>
          <w:szCs w:val="26"/>
        </w:rPr>
        <w:t xml:space="preserve">, various Working Group </w:t>
      </w:r>
      <w:r w:rsidR="00A325FC">
        <w:rPr>
          <w:sz w:val="26"/>
          <w:szCs w:val="26"/>
        </w:rPr>
        <w:lastRenderedPageBreak/>
        <w:t>participants provided written proposals</w:t>
      </w:r>
      <w:r w:rsidR="00940C13">
        <w:rPr>
          <w:sz w:val="26"/>
          <w:szCs w:val="26"/>
        </w:rPr>
        <w:t>,</w:t>
      </w:r>
      <w:r w:rsidR="00A325FC">
        <w:rPr>
          <w:sz w:val="26"/>
          <w:szCs w:val="26"/>
        </w:rPr>
        <w:t xml:space="preserve"> comments </w:t>
      </w:r>
      <w:r w:rsidR="00940C13">
        <w:rPr>
          <w:sz w:val="26"/>
          <w:szCs w:val="26"/>
        </w:rPr>
        <w:t>and other data related to issues concerning fuel switching</w:t>
      </w:r>
      <w:r w:rsidR="00973DD6">
        <w:rPr>
          <w:sz w:val="26"/>
          <w:szCs w:val="26"/>
        </w:rPr>
        <w:t xml:space="preserve"> measures</w:t>
      </w:r>
      <w:r w:rsidR="002F3C49" w:rsidRPr="000850CF">
        <w:rPr>
          <w:sz w:val="26"/>
          <w:szCs w:val="26"/>
        </w:rPr>
        <w:t>.</w:t>
      </w:r>
      <w:r w:rsidR="00A325FC">
        <w:rPr>
          <w:rStyle w:val="FootnoteReference"/>
          <w:sz w:val="26"/>
          <w:szCs w:val="26"/>
        </w:rPr>
        <w:footnoteReference w:id="2"/>
      </w:r>
    </w:p>
    <w:p w:rsidR="004D2698" w:rsidRDefault="004D2698" w:rsidP="00BE4A72">
      <w:pPr>
        <w:rPr>
          <w:sz w:val="26"/>
          <w:szCs w:val="26"/>
        </w:rPr>
      </w:pPr>
    </w:p>
    <w:p w:rsidR="004D2698" w:rsidRDefault="003F5015" w:rsidP="003F5015">
      <w:pPr>
        <w:ind w:firstLine="720"/>
        <w:rPr>
          <w:sz w:val="26"/>
          <w:szCs w:val="26"/>
        </w:rPr>
      </w:pPr>
      <w:r w:rsidRPr="003F5015">
        <w:rPr>
          <w:sz w:val="26"/>
          <w:szCs w:val="26"/>
        </w:rPr>
        <w:t xml:space="preserve">Staff notes that while the </w:t>
      </w:r>
      <w:r w:rsidR="00973DD6">
        <w:rPr>
          <w:sz w:val="26"/>
          <w:szCs w:val="26"/>
        </w:rPr>
        <w:t>FSWG</w:t>
      </w:r>
      <w:r w:rsidRPr="003F5015">
        <w:rPr>
          <w:sz w:val="26"/>
          <w:szCs w:val="26"/>
        </w:rPr>
        <w:t xml:space="preserve"> could not reach a true consensus on any of the topics raised, there were topics where participants could accept positions other than their preferred position.  As there was no true consensus on the topics, Commission staff </w:t>
      </w:r>
      <w:r w:rsidR="00FA1FD7">
        <w:rPr>
          <w:sz w:val="26"/>
          <w:szCs w:val="26"/>
        </w:rPr>
        <w:t>developed a report that sets forth</w:t>
      </w:r>
      <w:r w:rsidRPr="003F5015">
        <w:rPr>
          <w:sz w:val="26"/>
          <w:szCs w:val="26"/>
        </w:rPr>
        <w:t xml:space="preserve"> the topics raised, the positions of the participants and</w:t>
      </w:r>
      <w:r w:rsidR="00E5798C">
        <w:rPr>
          <w:sz w:val="26"/>
          <w:szCs w:val="26"/>
        </w:rPr>
        <w:t xml:space="preserve"> a </w:t>
      </w:r>
      <w:r w:rsidRPr="003F5015">
        <w:rPr>
          <w:sz w:val="26"/>
          <w:szCs w:val="26"/>
        </w:rPr>
        <w:t>Commission staff recommendation.</w:t>
      </w:r>
    </w:p>
    <w:p w:rsidR="00E24C6C" w:rsidRDefault="00E24C6C" w:rsidP="003F5015">
      <w:pPr>
        <w:ind w:firstLine="720"/>
        <w:rPr>
          <w:sz w:val="26"/>
          <w:szCs w:val="26"/>
        </w:rPr>
      </w:pPr>
    </w:p>
    <w:p w:rsidR="00E24C6C" w:rsidRDefault="00D71C02" w:rsidP="003F5015">
      <w:pPr>
        <w:ind w:firstLine="720"/>
        <w:rPr>
          <w:sz w:val="26"/>
          <w:szCs w:val="26"/>
        </w:rPr>
      </w:pPr>
      <w:r>
        <w:rPr>
          <w:sz w:val="26"/>
          <w:szCs w:val="26"/>
        </w:rPr>
        <w:t>A summary of t</w:t>
      </w:r>
      <w:r w:rsidR="00E24C6C">
        <w:rPr>
          <w:sz w:val="26"/>
          <w:szCs w:val="26"/>
        </w:rPr>
        <w:t>he Commission staff</w:t>
      </w:r>
      <w:r w:rsidR="00D625E2">
        <w:rPr>
          <w:sz w:val="26"/>
          <w:szCs w:val="26"/>
        </w:rPr>
        <w:t>’s</w:t>
      </w:r>
      <w:r w:rsidR="00E24C6C">
        <w:rPr>
          <w:sz w:val="26"/>
          <w:szCs w:val="26"/>
        </w:rPr>
        <w:t xml:space="preserve"> recommendations follow:</w:t>
      </w:r>
    </w:p>
    <w:p w:rsidR="003A2AAD" w:rsidRDefault="003A2AAD" w:rsidP="003F5015">
      <w:pPr>
        <w:ind w:firstLine="720"/>
        <w:rPr>
          <w:sz w:val="26"/>
          <w:szCs w:val="26"/>
        </w:rPr>
      </w:pPr>
    </w:p>
    <w:p w:rsidR="003A2AAD" w:rsidRPr="003A2AAD" w:rsidRDefault="000E3F10" w:rsidP="00E24C6C">
      <w:pPr>
        <w:pStyle w:val="ListParagraph"/>
        <w:numPr>
          <w:ilvl w:val="0"/>
          <w:numId w:val="10"/>
        </w:numPr>
        <w:spacing w:after="0" w:line="240" w:lineRule="auto"/>
        <w:ind w:left="720"/>
        <w:rPr>
          <w:rFonts w:ascii="Times New Roman" w:hAnsi="Times New Roman"/>
          <w:sz w:val="26"/>
          <w:szCs w:val="26"/>
        </w:rPr>
      </w:pPr>
      <w:r>
        <w:rPr>
          <w:rFonts w:ascii="Times New Roman" w:hAnsi="Times New Roman"/>
          <w:sz w:val="26"/>
          <w:szCs w:val="26"/>
        </w:rPr>
        <w:t>Cost</w:t>
      </w:r>
      <w:r>
        <w:rPr>
          <w:rFonts w:ascii="Times New Roman" w:hAnsi="Times New Roman"/>
          <w:sz w:val="26"/>
          <w:szCs w:val="26"/>
        </w:rPr>
        <w:noBreakHyphen/>
        <w:t xml:space="preserve">effective </w:t>
      </w:r>
      <w:r w:rsidR="00F762E5">
        <w:rPr>
          <w:rFonts w:ascii="Times New Roman" w:hAnsi="Times New Roman"/>
          <w:sz w:val="26"/>
          <w:szCs w:val="26"/>
        </w:rPr>
        <w:t>f</w:t>
      </w:r>
      <w:r w:rsidR="003A2AAD" w:rsidRPr="003A2AAD">
        <w:rPr>
          <w:rFonts w:ascii="Times New Roman" w:hAnsi="Times New Roman"/>
          <w:sz w:val="26"/>
          <w:szCs w:val="26"/>
        </w:rPr>
        <w:t xml:space="preserve">uel switching measures should be available to EDCs and their stakeholders when considering the best means of achieving </w:t>
      </w:r>
      <w:r w:rsidR="00F762E5">
        <w:rPr>
          <w:rFonts w:ascii="Times New Roman" w:hAnsi="Times New Roman"/>
          <w:sz w:val="26"/>
          <w:szCs w:val="26"/>
        </w:rPr>
        <w:t>EE&amp;C plan</w:t>
      </w:r>
      <w:r w:rsidR="003A2AAD" w:rsidRPr="003A2AAD">
        <w:rPr>
          <w:rFonts w:ascii="Times New Roman" w:hAnsi="Times New Roman"/>
          <w:sz w:val="26"/>
          <w:szCs w:val="26"/>
        </w:rPr>
        <w:t xml:space="preserve"> goals.  However, fuel switching programs</w:t>
      </w:r>
      <w:r w:rsidR="00E24C6C">
        <w:rPr>
          <w:rFonts w:ascii="Times New Roman" w:hAnsi="Times New Roman"/>
          <w:sz w:val="26"/>
          <w:szCs w:val="26"/>
        </w:rPr>
        <w:t xml:space="preserve"> should not be mandated.</w:t>
      </w:r>
    </w:p>
    <w:p w:rsidR="003A2AAD" w:rsidRPr="003A2AAD" w:rsidRDefault="003A2AAD" w:rsidP="0031514F">
      <w:pPr>
        <w:autoSpaceDE w:val="0"/>
        <w:autoSpaceDN w:val="0"/>
        <w:adjustRightInd w:val="0"/>
        <w:ind w:firstLine="720"/>
        <w:rPr>
          <w:sz w:val="26"/>
          <w:szCs w:val="26"/>
        </w:rPr>
      </w:pPr>
    </w:p>
    <w:p w:rsidR="003A2AAD" w:rsidRPr="001006EA" w:rsidRDefault="003A2AAD" w:rsidP="0031514F">
      <w:pPr>
        <w:pStyle w:val="ListParagraph"/>
        <w:numPr>
          <w:ilvl w:val="0"/>
          <w:numId w:val="10"/>
        </w:numPr>
        <w:spacing w:line="240" w:lineRule="auto"/>
        <w:ind w:left="720"/>
        <w:rPr>
          <w:rFonts w:ascii="Times New Roman" w:hAnsi="Times New Roman"/>
          <w:sz w:val="26"/>
          <w:szCs w:val="26"/>
        </w:rPr>
      </w:pPr>
      <w:r w:rsidRPr="001006EA">
        <w:rPr>
          <w:rFonts w:ascii="Times New Roman" w:hAnsi="Times New Roman"/>
          <w:sz w:val="26"/>
          <w:szCs w:val="26"/>
        </w:rPr>
        <w:t xml:space="preserve">EDCs should address the design </w:t>
      </w:r>
      <w:r w:rsidR="00C141A5">
        <w:rPr>
          <w:rFonts w:ascii="Times New Roman" w:hAnsi="Times New Roman"/>
          <w:sz w:val="26"/>
          <w:szCs w:val="26"/>
        </w:rPr>
        <w:t xml:space="preserve">of </w:t>
      </w:r>
      <w:r w:rsidRPr="001006EA">
        <w:rPr>
          <w:rFonts w:ascii="Times New Roman" w:hAnsi="Times New Roman"/>
          <w:sz w:val="26"/>
          <w:szCs w:val="26"/>
        </w:rPr>
        <w:t xml:space="preserve">fuel switching programs through </w:t>
      </w:r>
      <w:r w:rsidR="00F762E5">
        <w:rPr>
          <w:rFonts w:ascii="Times New Roman" w:hAnsi="Times New Roman"/>
          <w:sz w:val="26"/>
          <w:szCs w:val="26"/>
        </w:rPr>
        <w:t>their</w:t>
      </w:r>
      <w:r w:rsidRPr="001006EA">
        <w:rPr>
          <w:rFonts w:ascii="Times New Roman" w:hAnsi="Times New Roman"/>
          <w:sz w:val="26"/>
          <w:szCs w:val="26"/>
        </w:rPr>
        <w:t xml:space="preserve"> stakeholder processes.</w:t>
      </w:r>
    </w:p>
    <w:p w:rsidR="003A2AAD" w:rsidRDefault="003A2AAD" w:rsidP="0031514F">
      <w:pPr>
        <w:ind w:firstLine="720"/>
        <w:rPr>
          <w:sz w:val="26"/>
          <w:szCs w:val="26"/>
        </w:rPr>
      </w:pPr>
    </w:p>
    <w:p w:rsidR="003B577E" w:rsidRPr="00AC7BE5" w:rsidRDefault="00734D7C" w:rsidP="00AC7BE5">
      <w:pPr>
        <w:pStyle w:val="ListParagraph"/>
        <w:numPr>
          <w:ilvl w:val="0"/>
          <w:numId w:val="10"/>
        </w:numPr>
        <w:spacing w:line="240" w:lineRule="auto"/>
        <w:ind w:left="720"/>
        <w:rPr>
          <w:rFonts w:ascii="Times New Roman" w:hAnsi="Times New Roman"/>
          <w:sz w:val="26"/>
          <w:szCs w:val="26"/>
        </w:rPr>
      </w:pPr>
      <w:r>
        <w:rPr>
          <w:rFonts w:ascii="Times New Roman" w:hAnsi="Times New Roman"/>
          <w:sz w:val="26"/>
          <w:szCs w:val="26"/>
        </w:rPr>
        <w:t xml:space="preserve">The most effective manner in which to develop guidance to determine efficiency standards for any equipment involved in a fuel switching program is through the TRM </w:t>
      </w:r>
      <w:r w:rsidR="00331652">
        <w:rPr>
          <w:rFonts w:ascii="Times New Roman" w:hAnsi="Times New Roman"/>
          <w:sz w:val="26"/>
          <w:szCs w:val="26"/>
        </w:rPr>
        <w:t xml:space="preserve">and </w:t>
      </w:r>
      <w:r>
        <w:rPr>
          <w:rFonts w:ascii="Times New Roman" w:hAnsi="Times New Roman"/>
          <w:sz w:val="26"/>
          <w:szCs w:val="26"/>
        </w:rPr>
        <w:t>TRC test revision process</w:t>
      </w:r>
      <w:r w:rsidR="00331652">
        <w:rPr>
          <w:rFonts w:ascii="Times New Roman" w:hAnsi="Times New Roman"/>
          <w:sz w:val="26"/>
          <w:szCs w:val="26"/>
        </w:rPr>
        <w:t>es</w:t>
      </w:r>
      <w:r>
        <w:rPr>
          <w:rFonts w:ascii="Times New Roman" w:hAnsi="Times New Roman"/>
          <w:sz w:val="26"/>
          <w:szCs w:val="26"/>
        </w:rPr>
        <w:t>.</w:t>
      </w:r>
    </w:p>
    <w:p w:rsidR="003B577E" w:rsidRDefault="003B577E" w:rsidP="003A2AAD">
      <w:pPr>
        <w:ind w:firstLine="720"/>
        <w:rPr>
          <w:sz w:val="26"/>
          <w:szCs w:val="26"/>
        </w:rPr>
      </w:pPr>
    </w:p>
    <w:p w:rsidR="003B577E" w:rsidRPr="00C1763B" w:rsidRDefault="003B577E" w:rsidP="00C1763B">
      <w:pPr>
        <w:pStyle w:val="ListParagraph"/>
        <w:numPr>
          <w:ilvl w:val="0"/>
          <w:numId w:val="10"/>
        </w:numPr>
        <w:spacing w:line="240" w:lineRule="auto"/>
        <w:ind w:left="720"/>
        <w:rPr>
          <w:rFonts w:ascii="Times New Roman" w:hAnsi="Times New Roman"/>
          <w:sz w:val="26"/>
          <w:szCs w:val="26"/>
        </w:rPr>
      </w:pPr>
      <w:r w:rsidRPr="00C1763B">
        <w:rPr>
          <w:rFonts w:ascii="Times New Roman" w:hAnsi="Times New Roman"/>
          <w:sz w:val="26"/>
          <w:szCs w:val="26"/>
        </w:rPr>
        <w:t xml:space="preserve">Custom evaluation, measurement and verification methods for determining electric consumption and demand reductions </w:t>
      </w:r>
      <w:r w:rsidR="0093394F">
        <w:rPr>
          <w:rFonts w:ascii="Times New Roman" w:hAnsi="Times New Roman"/>
          <w:sz w:val="26"/>
          <w:szCs w:val="26"/>
        </w:rPr>
        <w:t xml:space="preserve">associated with fuel switching programs </w:t>
      </w:r>
      <w:r w:rsidRPr="00C1763B">
        <w:rPr>
          <w:rFonts w:ascii="Times New Roman" w:hAnsi="Times New Roman"/>
          <w:sz w:val="26"/>
          <w:szCs w:val="26"/>
        </w:rPr>
        <w:t>should be developed by each EDC’s independent monitor and approved by the Director of the Bureau of Conservation, Economics and Energy Planning.</w:t>
      </w:r>
    </w:p>
    <w:p w:rsidR="003B577E" w:rsidRDefault="003B577E" w:rsidP="003A2AAD">
      <w:pPr>
        <w:ind w:firstLine="720"/>
        <w:rPr>
          <w:sz w:val="26"/>
          <w:szCs w:val="26"/>
        </w:rPr>
      </w:pPr>
    </w:p>
    <w:p w:rsidR="003B577E" w:rsidRPr="00726420" w:rsidRDefault="00E83D7E" w:rsidP="00726420">
      <w:pPr>
        <w:pStyle w:val="ListParagraph"/>
        <w:numPr>
          <w:ilvl w:val="0"/>
          <w:numId w:val="10"/>
        </w:numPr>
        <w:spacing w:line="240" w:lineRule="auto"/>
        <w:ind w:left="720"/>
        <w:rPr>
          <w:rFonts w:ascii="Times New Roman" w:hAnsi="Times New Roman"/>
          <w:sz w:val="26"/>
          <w:szCs w:val="26"/>
        </w:rPr>
      </w:pPr>
      <w:r>
        <w:rPr>
          <w:rFonts w:ascii="Times New Roman" w:hAnsi="Times New Roman"/>
          <w:sz w:val="26"/>
          <w:szCs w:val="26"/>
        </w:rPr>
        <w:t>A</w:t>
      </w:r>
      <w:r w:rsidR="003B577E" w:rsidRPr="00726420">
        <w:rPr>
          <w:rFonts w:ascii="Times New Roman" w:hAnsi="Times New Roman"/>
          <w:sz w:val="26"/>
          <w:szCs w:val="26"/>
        </w:rPr>
        <w:t>ny proposed deemed savings associated with specific fuel switching measures should be reviewed under the TRM update process.</w:t>
      </w:r>
    </w:p>
    <w:p w:rsidR="003B577E" w:rsidRDefault="003B577E" w:rsidP="003A2AAD">
      <w:pPr>
        <w:ind w:firstLine="720"/>
        <w:rPr>
          <w:sz w:val="26"/>
          <w:szCs w:val="26"/>
        </w:rPr>
      </w:pPr>
    </w:p>
    <w:p w:rsidR="0031514F" w:rsidRDefault="003B577E" w:rsidP="0031514F">
      <w:pPr>
        <w:pStyle w:val="ListParagraph"/>
        <w:numPr>
          <w:ilvl w:val="0"/>
          <w:numId w:val="10"/>
        </w:numPr>
        <w:spacing w:line="240" w:lineRule="auto"/>
        <w:ind w:left="720"/>
        <w:rPr>
          <w:rFonts w:ascii="Times New Roman" w:hAnsi="Times New Roman"/>
          <w:sz w:val="26"/>
          <w:szCs w:val="26"/>
        </w:rPr>
      </w:pPr>
      <w:r w:rsidRPr="00254394">
        <w:rPr>
          <w:rFonts w:ascii="Times New Roman" w:hAnsi="Times New Roman"/>
          <w:sz w:val="26"/>
          <w:szCs w:val="26"/>
        </w:rPr>
        <w:t>EDCs be permitted to consider fuel switching pro</w:t>
      </w:r>
      <w:r w:rsidR="0031514F">
        <w:rPr>
          <w:rFonts w:ascii="Times New Roman" w:hAnsi="Times New Roman"/>
          <w:sz w:val="26"/>
          <w:szCs w:val="26"/>
        </w:rPr>
        <w:t>grams for low income customers.</w:t>
      </w:r>
    </w:p>
    <w:p w:rsidR="0031514F" w:rsidRPr="0031514F" w:rsidRDefault="0031514F" w:rsidP="0031514F">
      <w:pPr>
        <w:rPr>
          <w:sz w:val="26"/>
          <w:szCs w:val="26"/>
        </w:rPr>
      </w:pPr>
    </w:p>
    <w:p w:rsidR="00BD2AC1" w:rsidRDefault="00D71C02" w:rsidP="00254394">
      <w:pPr>
        <w:pStyle w:val="ListParagraph"/>
        <w:numPr>
          <w:ilvl w:val="0"/>
          <w:numId w:val="10"/>
        </w:numPr>
        <w:spacing w:line="240" w:lineRule="auto"/>
        <w:ind w:left="720"/>
        <w:rPr>
          <w:rFonts w:ascii="Times New Roman" w:hAnsi="Times New Roman"/>
          <w:sz w:val="26"/>
          <w:szCs w:val="26"/>
        </w:rPr>
      </w:pPr>
      <w:r>
        <w:rPr>
          <w:rFonts w:ascii="Times New Roman" w:hAnsi="Times New Roman"/>
          <w:sz w:val="26"/>
          <w:szCs w:val="26"/>
        </w:rPr>
        <w:t>T</w:t>
      </w:r>
      <w:r w:rsidR="001146FB" w:rsidRPr="00254394">
        <w:rPr>
          <w:rFonts w:ascii="Times New Roman" w:hAnsi="Times New Roman"/>
          <w:sz w:val="26"/>
          <w:szCs w:val="26"/>
        </w:rPr>
        <w:t xml:space="preserve">he Commission release this Report and adopt, reject, modify or add to the Staff’s recommendations contained in it.  </w:t>
      </w:r>
    </w:p>
    <w:p w:rsidR="00BD2AC1" w:rsidRPr="00BD2AC1" w:rsidRDefault="00BD2AC1" w:rsidP="00BD2AC1">
      <w:pPr>
        <w:pStyle w:val="ListParagraph"/>
        <w:rPr>
          <w:rFonts w:ascii="Times New Roman" w:hAnsi="Times New Roman"/>
          <w:sz w:val="26"/>
          <w:szCs w:val="26"/>
        </w:rPr>
      </w:pPr>
    </w:p>
    <w:p w:rsidR="001146FB" w:rsidRDefault="00D63EDD" w:rsidP="0031514F">
      <w:pPr>
        <w:pStyle w:val="ListParagraph"/>
        <w:numPr>
          <w:ilvl w:val="0"/>
          <w:numId w:val="10"/>
        </w:numPr>
        <w:spacing w:line="240" w:lineRule="auto"/>
        <w:ind w:left="720"/>
        <w:rPr>
          <w:rFonts w:ascii="Times New Roman" w:hAnsi="Times New Roman"/>
          <w:sz w:val="26"/>
          <w:szCs w:val="26"/>
        </w:rPr>
      </w:pPr>
      <w:r>
        <w:rPr>
          <w:rFonts w:ascii="Times New Roman" w:hAnsi="Times New Roman"/>
          <w:sz w:val="26"/>
          <w:szCs w:val="26"/>
        </w:rPr>
        <w:lastRenderedPageBreak/>
        <w:t>T</w:t>
      </w:r>
      <w:r w:rsidR="001146FB" w:rsidRPr="00254394">
        <w:rPr>
          <w:rFonts w:ascii="Times New Roman" w:hAnsi="Times New Roman"/>
          <w:sz w:val="26"/>
          <w:szCs w:val="26"/>
        </w:rPr>
        <w:t xml:space="preserve">hat the Commission direct </w:t>
      </w:r>
      <w:r w:rsidR="00D71C02">
        <w:rPr>
          <w:rFonts w:ascii="Times New Roman" w:hAnsi="Times New Roman"/>
          <w:sz w:val="26"/>
          <w:szCs w:val="26"/>
        </w:rPr>
        <w:t xml:space="preserve">CEEP </w:t>
      </w:r>
      <w:r w:rsidR="001146FB" w:rsidRPr="00254394">
        <w:rPr>
          <w:rFonts w:ascii="Times New Roman" w:hAnsi="Times New Roman"/>
          <w:sz w:val="26"/>
          <w:szCs w:val="26"/>
        </w:rPr>
        <w:t xml:space="preserve">to develop deemed evaluation, measurement and verification protocols for specific energy efficiency measures that involve switching from electricity to another fuel source, to be considered for inclusion in the TRM.  </w:t>
      </w:r>
      <w:r w:rsidR="00682049">
        <w:rPr>
          <w:rFonts w:ascii="Times New Roman" w:hAnsi="Times New Roman"/>
          <w:sz w:val="26"/>
          <w:szCs w:val="26"/>
        </w:rPr>
        <w:t>CEEP</w:t>
      </w:r>
      <w:r w:rsidR="001146FB" w:rsidRPr="00254394">
        <w:rPr>
          <w:rFonts w:ascii="Times New Roman" w:hAnsi="Times New Roman"/>
          <w:sz w:val="26"/>
          <w:szCs w:val="26"/>
        </w:rPr>
        <w:t xml:space="preserve"> is to develop these protocols in conjunction with the Statewide Evaluator and through the annual TRM revision process.  </w:t>
      </w:r>
    </w:p>
    <w:p w:rsidR="0070494E" w:rsidRPr="0070494E" w:rsidRDefault="0070494E" w:rsidP="0031514F">
      <w:pPr>
        <w:rPr>
          <w:sz w:val="26"/>
          <w:szCs w:val="26"/>
        </w:rPr>
      </w:pPr>
    </w:p>
    <w:p w:rsidR="003B577E" w:rsidRPr="00CA3444" w:rsidRDefault="00682049" w:rsidP="0031514F">
      <w:pPr>
        <w:pStyle w:val="ListParagraph"/>
        <w:numPr>
          <w:ilvl w:val="0"/>
          <w:numId w:val="10"/>
        </w:numPr>
        <w:spacing w:line="240" w:lineRule="auto"/>
        <w:ind w:left="720"/>
        <w:rPr>
          <w:rFonts w:ascii="Times New Roman" w:hAnsi="Times New Roman"/>
          <w:sz w:val="26"/>
          <w:szCs w:val="26"/>
        </w:rPr>
      </w:pPr>
      <w:r>
        <w:rPr>
          <w:rFonts w:ascii="Times New Roman" w:hAnsi="Times New Roman"/>
          <w:sz w:val="26"/>
          <w:szCs w:val="26"/>
        </w:rPr>
        <w:t>T</w:t>
      </w:r>
      <w:r w:rsidR="001146FB" w:rsidRPr="00CA3444">
        <w:rPr>
          <w:rFonts w:ascii="Times New Roman" w:hAnsi="Times New Roman"/>
          <w:sz w:val="26"/>
          <w:szCs w:val="26"/>
        </w:rPr>
        <w:t xml:space="preserve">he Commission direct </w:t>
      </w:r>
      <w:r>
        <w:rPr>
          <w:rFonts w:ascii="Times New Roman" w:hAnsi="Times New Roman"/>
          <w:sz w:val="26"/>
          <w:szCs w:val="26"/>
        </w:rPr>
        <w:t>CEEP</w:t>
      </w:r>
      <w:r w:rsidR="001146FB" w:rsidRPr="00CA3444">
        <w:rPr>
          <w:rFonts w:ascii="Times New Roman" w:hAnsi="Times New Roman"/>
          <w:sz w:val="26"/>
          <w:szCs w:val="26"/>
        </w:rPr>
        <w:t xml:space="preserve"> to develop recommended changes to the TRC </w:t>
      </w:r>
      <w:r>
        <w:rPr>
          <w:rFonts w:ascii="Times New Roman" w:hAnsi="Times New Roman"/>
          <w:sz w:val="26"/>
          <w:szCs w:val="26"/>
        </w:rPr>
        <w:t>t</w:t>
      </w:r>
      <w:r w:rsidR="001146FB" w:rsidRPr="00CA3444">
        <w:rPr>
          <w:rFonts w:ascii="Times New Roman" w:hAnsi="Times New Roman"/>
          <w:sz w:val="26"/>
          <w:szCs w:val="26"/>
        </w:rPr>
        <w:t xml:space="preserve">est needed to analyze the costs and benefits of energy efficiency measures that involve switching from electricity to another fuel source.  </w:t>
      </w:r>
      <w:r>
        <w:rPr>
          <w:rFonts w:ascii="Times New Roman" w:hAnsi="Times New Roman"/>
          <w:sz w:val="26"/>
          <w:szCs w:val="26"/>
        </w:rPr>
        <w:t>CEEP</w:t>
      </w:r>
      <w:r w:rsidR="001146FB" w:rsidRPr="00CA3444">
        <w:rPr>
          <w:rFonts w:ascii="Times New Roman" w:hAnsi="Times New Roman"/>
          <w:sz w:val="26"/>
          <w:szCs w:val="26"/>
        </w:rPr>
        <w:t xml:space="preserve"> is to develop these recommended changes to the TRC </w:t>
      </w:r>
      <w:r>
        <w:rPr>
          <w:rFonts w:ascii="Times New Roman" w:hAnsi="Times New Roman"/>
          <w:sz w:val="26"/>
          <w:szCs w:val="26"/>
        </w:rPr>
        <w:t>t</w:t>
      </w:r>
      <w:r w:rsidR="001146FB" w:rsidRPr="00CA3444">
        <w:rPr>
          <w:rFonts w:ascii="Times New Roman" w:hAnsi="Times New Roman"/>
          <w:sz w:val="26"/>
          <w:szCs w:val="26"/>
        </w:rPr>
        <w:t>est in conjunction with the Statewide Evaluator and the Total Resource Cost Test Working Group.</w:t>
      </w:r>
    </w:p>
    <w:p w:rsidR="004D2698" w:rsidRDefault="004D2698" w:rsidP="00BE4A72">
      <w:pPr>
        <w:rPr>
          <w:sz w:val="26"/>
          <w:szCs w:val="26"/>
        </w:rPr>
      </w:pPr>
    </w:p>
    <w:p w:rsidR="004D2698" w:rsidRDefault="003B7903" w:rsidP="00C864F4">
      <w:pPr>
        <w:ind w:firstLine="720"/>
        <w:rPr>
          <w:sz w:val="26"/>
          <w:szCs w:val="26"/>
        </w:rPr>
      </w:pPr>
      <w:r>
        <w:rPr>
          <w:sz w:val="26"/>
          <w:szCs w:val="26"/>
        </w:rPr>
        <w:t>By this Secretarial Letter, the Commission</w:t>
      </w:r>
      <w:r w:rsidR="00C864F4">
        <w:rPr>
          <w:sz w:val="26"/>
          <w:szCs w:val="26"/>
        </w:rPr>
        <w:t xml:space="preserve"> is releasing the </w:t>
      </w:r>
      <w:r w:rsidR="00C864F4" w:rsidRPr="00D63EDD">
        <w:rPr>
          <w:i/>
          <w:sz w:val="26"/>
          <w:szCs w:val="26"/>
        </w:rPr>
        <w:t>Act 129 Fuel Switching Working Group Staff Report</w:t>
      </w:r>
      <w:r w:rsidR="00C864F4">
        <w:rPr>
          <w:sz w:val="26"/>
          <w:szCs w:val="26"/>
        </w:rPr>
        <w:t xml:space="preserve"> and adopting the recommendations presented therein.  Accordingly, the Commission directs the Bureau of Conservation, Economics</w:t>
      </w:r>
      <w:r w:rsidR="00C864F4" w:rsidRPr="00C864F4">
        <w:rPr>
          <w:sz w:val="26"/>
          <w:szCs w:val="26"/>
        </w:rPr>
        <w:t xml:space="preserve"> </w:t>
      </w:r>
      <w:r w:rsidR="00C864F4" w:rsidRPr="00254394">
        <w:rPr>
          <w:sz w:val="26"/>
          <w:szCs w:val="26"/>
        </w:rPr>
        <w:t>and Energy Planning</w:t>
      </w:r>
      <w:r w:rsidR="00011A2E">
        <w:rPr>
          <w:sz w:val="26"/>
          <w:szCs w:val="26"/>
        </w:rPr>
        <w:t xml:space="preserve">, </w:t>
      </w:r>
      <w:r w:rsidR="00011A2E" w:rsidRPr="00254394">
        <w:rPr>
          <w:sz w:val="26"/>
          <w:szCs w:val="26"/>
        </w:rPr>
        <w:t>in conjunction with the Statewide Evaluator</w:t>
      </w:r>
      <w:r w:rsidR="00011A2E">
        <w:rPr>
          <w:sz w:val="26"/>
          <w:szCs w:val="26"/>
        </w:rPr>
        <w:t>,</w:t>
      </w:r>
      <w:r w:rsidR="00C864F4" w:rsidRPr="00254394">
        <w:rPr>
          <w:sz w:val="26"/>
          <w:szCs w:val="26"/>
        </w:rPr>
        <w:t xml:space="preserve"> to develop deemed evaluation, measurement and verification protocols for specific energy efficiency measures that involve switching from electricity to another fuel source, to be considered for inclusion in </w:t>
      </w:r>
      <w:r w:rsidR="00011A2E">
        <w:rPr>
          <w:sz w:val="26"/>
          <w:szCs w:val="26"/>
        </w:rPr>
        <w:t>future updates to the Technical Reference Manual.</w:t>
      </w:r>
    </w:p>
    <w:p w:rsidR="0093394F" w:rsidRDefault="0093394F" w:rsidP="00C864F4">
      <w:pPr>
        <w:ind w:firstLine="720"/>
        <w:rPr>
          <w:sz w:val="26"/>
          <w:szCs w:val="26"/>
        </w:rPr>
      </w:pPr>
    </w:p>
    <w:p w:rsidR="00C864F4" w:rsidRDefault="00C864F4" w:rsidP="00C864F4">
      <w:pPr>
        <w:ind w:firstLine="720"/>
        <w:rPr>
          <w:sz w:val="26"/>
          <w:szCs w:val="26"/>
        </w:rPr>
      </w:pPr>
      <w:r>
        <w:rPr>
          <w:sz w:val="26"/>
          <w:szCs w:val="26"/>
        </w:rPr>
        <w:t xml:space="preserve">In addition, the Commission directs the </w:t>
      </w:r>
      <w:r w:rsidRPr="00CA3444">
        <w:rPr>
          <w:sz w:val="26"/>
          <w:szCs w:val="26"/>
        </w:rPr>
        <w:t xml:space="preserve">Bureau of Conservation, Economics and Energy Planning to develop, </w:t>
      </w:r>
      <w:r w:rsidR="00011A2E" w:rsidRPr="00CA3444">
        <w:rPr>
          <w:sz w:val="26"/>
          <w:szCs w:val="26"/>
        </w:rPr>
        <w:t>in conjunction with the Statewide Evaluator and the Total Resource Cost Test Working Group</w:t>
      </w:r>
      <w:r w:rsidRPr="00CA3444">
        <w:rPr>
          <w:sz w:val="26"/>
          <w:szCs w:val="26"/>
        </w:rPr>
        <w:t>, recommended changes to the Total Resource Cost Test needed to appropriately analyze the costs and benefits of energy efficiency measures that involve switching from elect</w:t>
      </w:r>
      <w:r w:rsidR="00D625E2">
        <w:rPr>
          <w:sz w:val="26"/>
          <w:szCs w:val="26"/>
        </w:rPr>
        <w:t>ricity to another fuel source.</w:t>
      </w:r>
    </w:p>
    <w:p w:rsidR="00295B21" w:rsidRDefault="00295B21" w:rsidP="00C864F4">
      <w:pPr>
        <w:ind w:firstLine="720"/>
        <w:rPr>
          <w:sz w:val="26"/>
          <w:szCs w:val="26"/>
        </w:rPr>
      </w:pPr>
    </w:p>
    <w:p w:rsidR="00295B21" w:rsidRDefault="00295B21" w:rsidP="00C864F4">
      <w:pPr>
        <w:ind w:firstLine="720"/>
        <w:rPr>
          <w:sz w:val="26"/>
          <w:szCs w:val="26"/>
        </w:rPr>
      </w:pPr>
      <w:r>
        <w:rPr>
          <w:sz w:val="26"/>
          <w:szCs w:val="26"/>
        </w:rPr>
        <w:t xml:space="preserve">As the Commission is adopting the recommendations contained in the </w:t>
      </w:r>
      <w:r w:rsidRPr="00295B21">
        <w:rPr>
          <w:i/>
          <w:sz w:val="26"/>
          <w:szCs w:val="26"/>
        </w:rPr>
        <w:t>Staff Report</w:t>
      </w:r>
      <w:r>
        <w:rPr>
          <w:sz w:val="26"/>
          <w:szCs w:val="26"/>
        </w:rPr>
        <w:t xml:space="preserve">, </w:t>
      </w:r>
      <w:r w:rsidR="00492F08">
        <w:rPr>
          <w:sz w:val="26"/>
          <w:szCs w:val="26"/>
        </w:rPr>
        <w:t>cost</w:t>
      </w:r>
      <w:r w:rsidR="00492F08">
        <w:rPr>
          <w:sz w:val="26"/>
          <w:szCs w:val="26"/>
        </w:rPr>
        <w:noBreakHyphen/>
        <w:t xml:space="preserve">effective fuel switching measures can </w:t>
      </w:r>
      <w:r w:rsidR="0070494E">
        <w:rPr>
          <w:sz w:val="26"/>
          <w:szCs w:val="26"/>
        </w:rPr>
        <w:t xml:space="preserve">now </w:t>
      </w:r>
      <w:r w:rsidR="00492F08">
        <w:rPr>
          <w:sz w:val="26"/>
          <w:szCs w:val="26"/>
        </w:rPr>
        <w:t xml:space="preserve">be proposed for Commission approval in accordance with the normal Act 129 EE&amp;C plan updating process </w:t>
      </w:r>
      <w:r w:rsidR="0070494E">
        <w:rPr>
          <w:sz w:val="26"/>
          <w:szCs w:val="26"/>
        </w:rPr>
        <w:t xml:space="preserve">outlined in pages 23 and 24 of this Commission’s </w:t>
      </w:r>
      <w:r w:rsidR="0070494E" w:rsidRPr="0070494E">
        <w:rPr>
          <w:i/>
          <w:sz w:val="26"/>
          <w:szCs w:val="26"/>
        </w:rPr>
        <w:t>Energy Efficiency and Conservation Program Implementation Order</w:t>
      </w:r>
      <w:r w:rsidR="0070494E">
        <w:rPr>
          <w:sz w:val="26"/>
          <w:szCs w:val="26"/>
        </w:rPr>
        <w:t xml:space="preserve"> at Docket No. M</w:t>
      </w:r>
      <w:r w:rsidR="0070494E">
        <w:rPr>
          <w:sz w:val="26"/>
          <w:szCs w:val="26"/>
        </w:rPr>
        <w:noBreakHyphen/>
        <w:t>2008</w:t>
      </w:r>
      <w:r w:rsidR="0070494E">
        <w:rPr>
          <w:sz w:val="26"/>
          <w:szCs w:val="26"/>
        </w:rPr>
        <w:noBreakHyphen/>
        <w:t>2069887, entered January 16, 2009.</w:t>
      </w:r>
    </w:p>
    <w:p w:rsidR="00C864F4" w:rsidRDefault="00C864F4" w:rsidP="00C864F4">
      <w:pPr>
        <w:ind w:firstLine="720"/>
        <w:rPr>
          <w:sz w:val="26"/>
          <w:szCs w:val="26"/>
        </w:rPr>
      </w:pPr>
    </w:p>
    <w:p w:rsidR="00F635FA" w:rsidRDefault="00F635FA">
      <w:pPr>
        <w:rPr>
          <w:sz w:val="26"/>
          <w:szCs w:val="26"/>
        </w:rPr>
      </w:pPr>
      <w:r>
        <w:rPr>
          <w:sz w:val="26"/>
          <w:szCs w:val="26"/>
        </w:rPr>
        <w:br w:type="page"/>
      </w:r>
    </w:p>
    <w:p w:rsidR="000436C7" w:rsidRDefault="00E76ACC" w:rsidP="00C864F4">
      <w:pPr>
        <w:ind w:firstLine="720"/>
        <w:rPr>
          <w:sz w:val="26"/>
          <w:szCs w:val="26"/>
        </w:rPr>
      </w:pPr>
      <w:r>
        <w:rPr>
          <w:sz w:val="26"/>
          <w:szCs w:val="26"/>
        </w:rPr>
        <w:lastRenderedPageBreak/>
        <w:t xml:space="preserve">The Commission thanks the Fuel Switching Working Group members for their work on this report and requests that they, and all interested parties, actively participate in the Commission’s and the EDCs’ efforts related to </w:t>
      </w:r>
      <w:r w:rsidR="000436C7">
        <w:rPr>
          <w:sz w:val="26"/>
          <w:szCs w:val="26"/>
        </w:rPr>
        <w:t>this important topic and the Act 129 energy efficiency and conservation program as a whole.</w:t>
      </w:r>
    </w:p>
    <w:p w:rsidR="0031514F" w:rsidRDefault="0031514F" w:rsidP="00EB1F5A">
      <w:pPr>
        <w:ind w:firstLine="720"/>
        <w:rPr>
          <w:sz w:val="26"/>
          <w:szCs w:val="26"/>
        </w:rPr>
      </w:pPr>
    </w:p>
    <w:p w:rsidR="00F635FA" w:rsidRPr="00BE4A72" w:rsidRDefault="001C2031" w:rsidP="00EB1F5A">
      <w:pPr>
        <w:ind w:firstLine="720"/>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2038350</wp:posOffset>
            </wp:positionH>
            <wp:positionV relativeFrom="paragraph">
              <wp:posOffset>146050</wp:posOffset>
            </wp:positionV>
            <wp:extent cx="2200275" cy="838200"/>
            <wp:effectExtent l="1905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E4A72" w:rsidRPr="00BE4A72" w:rsidRDefault="00BE4A72" w:rsidP="00BE4A72">
      <w:pPr>
        <w:ind w:left="3600"/>
        <w:rPr>
          <w:sz w:val="26"/>
          <w:szCs w:val="26"/>
        </w:rPr>
      </w:pPr>
      <w:r w:rsidRPr="00BE4A72">
        <w:rPr>
          <w:sz w:val="26"/>
          <w:szCs w:val="26"/>
        </w:rPr>
        <w:tab/>
        <w:t>Sincerely,</w:t>
      </w:r>
    </w:p>
    <w:p w:rsidR="00BE4A72" w:rsidRPr="00BE4A72" w:rsidRDefault="00BE4A72" w:rsidP="00BE4A72">
      <w:pPr>
        <w:ind w:left="3600"/>
        <w:rPr>
          <w:sz w:val="26"/>
          <w:szCs w:val="26"/>
        </w:rPr>
      </w:pPr>
    </w:p>
    <w:p w:rsidR="00BE4A72" w:rsidRDefault="00BE4A72" w:rsidP="00BE4A72">
      <w:pPr>
        <w:ind w:left="3600"/>
        <w:rPr>
          <w:sz w:val="26"/>
          <w:szCs w:val="26"/>
        </w:rPr>
      </w:pPr>
    </w:p>
    <w:p w:rsidR="0031514F" w:rsidRDefault="0031514F" w:rsidP="00BE4A72">
      <w:pPr>
        <w:ind w:left="3600"/>
        <w:rPr>
          <w:sz w:val="26"/>
          <w:szCs w:val="26"/>
        </w:rPr>
      </w:pPr>
    </w:p>
    <w:p w:rsidR="00C77F29" w:rsidRDefault="00C77F29" w:rsidP="00C77F29">
      <w:pPr>
        <w:rPr>
          <w:sz w:val="26"/>
          <w:szCs w:val="26"/>
        </w:rPr>
      </w:pPr>
      <w:r>
        <w:rPr>
          <w:sz w:val="26"/>
          <w:szCs w:val="26"/>
        </w:rPr>
        <w:tab/>
      </w:r>
      <w:r w:rsidR="007A4369">
        <w:rPr>
          <w:sz w:val="26"/>
          <w:szCs w:val="26"/>
        </w:rPr>
        <w:tab/>
      </w:r>
      <w:r w:rsidR="007A4369">
        <w:rPr>
          <w:sz w:val="26"/>
          <w:szCs w:val="26"/>
        </w:rPr>
        <w:tab/>
      </w:r>
      <w:r w:rsidR="007A4369">
        <w:rPr>
          <w:sz w:val="26"/>
          <w:szCs w:val="26"/>
        </w:rPr>
        <w:tab/>
      </w:r>
      <w:r w:rsidR="007A4369">
        <w:rPr>
          <w:sz w:val="26"/>
          <w:szCs w:val="26"/>
        </w:rPr>
        <w:tab/>
      </w:r>
      <w:r w:rsidR="007A4369">
        <w:rPr>
          <w:sz w:val="26"/>
          <w:szCs w:val="26"/>
        </w:rPr>
        <w:tab/>
      </w:r>
      <w:r w:rsidR="0022434B">
        <w:rPr>
          <w:sz w:val="26"/>
          <w:szCs w:val="26"/>
        </w:rPr>
        <w:t>Rosemary Chiavetta</w:t>
      </w:r>
    </w:p>
    <w:p w:rsidR="0022434B" w:rsidRDefault="0022434B" w:rsidP="00C77F2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EB1F5A" w:rsidRDefault="00EB1F5A" w:rsidP="00C77F29">
      <w:pPr>
        <w:rPr>
          <w:sz w:val="26"/>
          <w:szCs w:val="26"/>
        </w:rPr>
      </w:pPr>
    </w:p>
    <w:p w:rsidR="0031514F" w:rsidRDefault="0031514F" w:rsidP="00C77F29">
      <w:pPr>
        <w:rPr>
          <w:sz w:val="26"/>
          <w:szCs w:val="26"/>
        </w:rPr>
      </w:pPr>
    </w:p>
    <w:p w:rsidR="0031514F" w:rsidRDefault="0031514F" w:rsidP="00C77F29">
      <w:pPr>
        <w:rPr>
          <w:sz w:val="26"/>
          <w:szCs w:val="26"/>
        </w:rPr>
      </w:pPr>
    </w:p>
    <w:p w:rsidR="00EB1F5A" w:rsidRDefault="00EB1F5A" w:rsidP="00C77F29">
      <w:pPr>
        <w:rPr>
          <w:sz w:val="26"/>
          <w:szCs w:val="26"/>
        </w:rPr>
      </w:pPr>
      <w:r>
        <w:rPr>
          <w:sz w:val="26"/>
          <w:szCs w:val="26"/>
        </w:rPr>
        <w:t>Attachment:  The Act 129 Fuel Switching Working Group Staff Report</w:t>
      </w:r>
    </w:p>
    <w:sectPr w:rsidR="00EB1F5A" w:rsidSect="003F5015">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FE" w:rsidRDefault="00A150FE">
      <w:r>
        <w:separator/>
      </w:r>
    </w:p>
  </w:endnote>
  <w:endnote w:type="continuationSeparator" w:id="0">
    <w:p w:rsidR="00A150FE" w:rsidRDefault="00A15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144985"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rsidR="009E40EC" w:rsidRDefault="009E4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144985"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rsidR="009E40EC" w:rsidRDefault="009E4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144985">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rsidR="009E40EC" w:rsidRDefault="009E40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4157"/>
      <w:docPartObj>
        <w:docPartGallery w:val="Page Numbers (Bottom of Page)"/>
        <w:docPartUnique/>
      </w:docPartObj>
    </w:sdtPr>
    <w:sdtContent>
      <w:p w:rsidR="00F5312F" w:rsidRDefault="00144985">
        <w:pPr>
          <w:pStyle w:val="Footer"/>
          <w:jc w:val="center"/>
        </w:pPr>
        <w:fldSimple w:instr=" PAGE   \* MERGEFORMAT ">
          <w:r w:rsidR="001C2031">
            <w:rPr>
              <w:noProof/>
            </w:rPr>
            <w:t>4</w:t>
          </w:r>
        </w:fldSimple>
      </w:p>
    </w:sdtContent>
  </w:sdt>
  <w:p w:rsidR="009E40EC" w:rsidRDefault="009E4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FE" w:rsidRDefault="00A150FE">
      <w:r>
        <w:separator/>
      </w:r>
    </w:p>
  </w:footnote>
  <w:footnote w:type="continuationSeparator" w:id="0">
    <w:p w:rsidR="00A150FE" w:rsidRDefault="00A150FE">
      <w:r>
        <w:continuationSeparator/>
      </w:r>
    </w:p>
  </w:footnote>
  <w:footnote w:id="1">
    <w:p w:rsidR="002F3C49" w:rsidRPr="000B74D7" w:rsidRDefault="002F3C49" w:rsidP="00F544A5">
      <w:pPr>
        <w:pStyle w:val="FootnoteText"/>
        <w:spacing w:after="0" w:line="240" w:lineRule="auto"/>
        <w:rPr>
          <w:rFonts w:ascii="Arial" w:hAnsi="Arial" w:cs="Arial"/>
          <w:sz w:val="22"/>
          <w:szCs w:val="22"/>
        </w:rPr>
      </w:pPr>
      <w:r w:rsidRPr="000850CF">
        <w:rPr>
          <w:rStyle w:val="FootnoteReference"/>
          <w:rFonts w:ascii="Times New Roman" w:hAnsi="Times New Roman"/>
          <w:sz w:val="22"/>
          <w:szCs w:val="22"/>
        </w:rPr>
        <w:footnoteRef/>
      </w:r>
      <w:r w:rsidRPr="000850CF">
        <w:rPr>
          <w:rFonts w:ascii="Times New Roman" w:hAnsi="Times New Roman"/>
          <w:sz w:val="22"/>
          <w:szCs w:val="22"/>
        </w:rPr>
        <w:t xml:space="preserve"> </w:t>
      </w:r>
      <w:r w:rsidRPr="000850CF">
        <w:rPr>
          <w:rFonts w:ascii="Times New Roman" w:hAnsi="Times New Roman"/>
          <w:i/>
          <w:sz w:val="22"/>
          <w:szCs w:val="22"/>
        </w:rPr>
        <w:t>Petition of West Penn Power Company d/b/a Allegheny Power for Approval of its Energy Efficiency and Conservation Plan</w:t>
      </w:r>
      <w:r w:rsidRPr="000850CF">
        <w:rPr>
          <w:rFonts w:ascii="Times New Roman" w:hAnsi="Times New Roman"/>
          <w:sz w:val="22"/>
          <w:szCs w:val="22"/>
        </w:rPr>
        <w:t xml:space="preserve">, Order entered October 23, 2009 at Docket No. M-2009-2093218; </w:t>
      </w:r>
      <w:r w:rsidRPr="000850CF">
        <w:rPr>
          <w:rFonts w:ascii="Times New Roman" w:hAnsi="Times New Roman"/>
          <w:i/>
          <w:color w:val="000000"/>
          <w:sz w:val="22"/>
          <w:szCs w:val="22"/>
        </w:rPr>
        <w:t>Petition of PPL Electric Utilities Corporation for Approval of its Energy Efficiency and Conservation Plan</w:t>
      </w:r>
      <w:r w:rsidRPr="000850CF">
        <w:rPr>
          <w:rFonts w:ascii="Times New Roman" w:hAnsi="Times New Roman"/>
          <w:color w:val="000000"/>
          <w:sz w:val="22"/>
          <w:szCs w:val="22"/>
        </w:rPr>
        <w:t xml:space="preserve">, Order entered October 26, 2009 at Docket No. M-2009-2093216; </w:t>
      </w:r>
      <w:r w:rsidRPr="000850CF">
        <w:rPr>
          <w:rFonts w:ascii="Times New Roman" w:hAnsi="Times New Roman"/>
          <w:i/>
          <w:sz w:val="22"/>
          <w:szCs w:val="22"/>
        </w:rPr>
        <w:t>Petition of Duquesne Light Company for Approval of its Energy Efficiency and Conservation and Demand Response Plan</w:t>
      </w:r>
      <w:r w:rsidRPr="000850CF">
        <w:rPr>
          <w:rFonts w:ascii="Times New Roman" w:hAnsi="Times New Roman"/>
          <w:sz w:val="22"/>
          <w:szCs w:val="22"/>
        </w:rPr>
        <w:t xml:space="preserve">, Order entered October 27, 2009 at Docket No. M-2009-2093217; </w:t>
      </w:r>
      <w:r w:rsidRPr="000850CF">
        <w:rPr>
          <w:rFonts w:ascii="Times New Roman" w:hAnsi="Times New Roman"/>
          <w:i/>
          <w:sz w:val="22"/>
          <w:szCs w:val="22"/>
        </w:rPr>
        <w:t xml:space="preserve">Joint Petition of Metropolitan Edison Company, Pennsylvania Electric Company and Pennsylvania Power Company for Consolidation of Proceedings and Approval of  Energy Efficiency and Conservation Plans, </w:t>
      </w:r>
      <w:r w:rsidRPr="000850CF">
        <w:rPr>
          <w:rFonts w:ascii="Times New Roman" w:hAnsi="Times New Roman"/>
          <w:sz w:val="22"/>
          <w:szCs w:val="22"/>
        </w:rPr>
        <w:t xml:space="preserve">Order entered October 28, 2009 at Docket No. M- 2009-2092222, M-2009-2112952 and M-2009-2112956; </w:t>
      </w:r>
      <w:r w:rsidRPr="000850CF">
        <w:rPr>
          <w:rFonts w:ascii="Times New Roman" w:hAnsi="Times New Roman"/>
          <w:i/>
          <w:sz w:val="22"/>
          <w:szCs w:val="22"/>
        </w:rPr>
        <w:t>Petition of PECO Energy Company for Approval of its Act 129 Energy Efficiency and Conservation Plan and Expedited Approval of its Compact Fluorescent Lamp Program</w:t>
      </w:r>
      <w:r w:rsidRPr="000850CF">
        <w:rPr>
          <w:rFonts w:ascii="Times New Roman" w:hAnsi="Times New Roman"/>
          <w:sz w:val="22"/>
          <w:szCs w:val="22"/>
        </w:rPr>
        <w:t>, Order entered October 28, 2009 at Docket No. M-2009-2093215 (collectively Orders).</w:t>
      </w:r>
    </w:p>
  </w:footnote>
  <w:footnote w:id="2">
    <w:p w:rsidR="00A325FC" w:rsidRPr="00F544A5" w:rsidRDefault="00A325FC" w:rsidP="00F544A5">
      <w:pPr>
        <w:pStyle w:val="FootnoteText"/>
        <w:spacing w:line="240" w:lineRule="auto"/>
        <w:rPr>
          <w:rFonts w:ascii="Times New Roman" w:hAnsi="Times New Roman"/>
          <w:sz w:val="22"/>
          <w:szCs w:val="22"/>
        </w:rPr>
      </w:pPr>
      <w:r w:rsidRPr="00F544A5">
        <w:rPr>
          <w:rStyle w:val="FootnoteReference"/>
          <w:rFonts w:ascii="Times New Roman" w:hAnsi="Times New Roman"/>
          <w:sz w:val="22"/>
          <w:szCs w:val="22"/>
        </w:rPr>
        <w:footnoteRef/>
      </w:r>
      <w:r w:rsidRPr="00F544A5">
        <w:rPr>
          <w:rFonts w:ascii="Times New Roman" w:hAnsi="Times New Roman"/>
          <w:sz w:val="22"/>
          <w:szCs w:val="22"/>
        </w:rPr>
        <w:t xml:space="preserve"> </w:t>
      </w:r>
      <w:r w:rsidR="00982639" w:rsidRPr="00F544A5">
        <w:rPr>
          <w:rFonts w:ascii="Times New Roman" w:hAnsi="Times New Roman"/>
          <w:sz w:val="22"/>
          <w:szCs w:val="22"/>
        </w:rPr>
        <w:t>The written proposals</w:t>
      </w:r>
      <w:r w:rsidR="00FA1FD7">
        <w:rPr>
          <w:rFonts w:ascii="Times New Roman" w:hAnsi="Times New Roman"/>
          <w:sz w:val="22"/>
          <w:szCs w:val="22"/>
        </w:rPr>
        <w:t>,</w:t>
      </w:r>
      <w:r w:rsidRPr="00F544A5">
        <w:rPr>
          <w:rFonts w:ascii="Times New Roman" w:hAnsi="Times New Roman"/>
          <w:sz w:val="22"/>
          <w:szCs w:val="22"/>
        </w:rPr>
        <w:t xml:space="preserve"> comments</w:t>
      </w:r>
      <w:r w:rsidR="00FA1FD7">
        <w:rPr>
          <w:rFonts w:ascii="Times New Roman" w:hAnsi="Times New Roman"/>
          <w:sz w:val="22"/>
          <w:szCs w:val="22"/>
        </w:rPr>
        <w:t xml:space="preserve"> and data</w:t>
      </w:r>
      <w:r w:rsidRPr="00F544A5">
        <w:rPr>
          <w:rFonts w:ascii="Times New Roman" w:hAnsi="Times New Roman"/>
          <w:sz w:val="22"/>
          <w:szCs w:val="22"/>
        </w:rPr>
        <w:t xml:space="preserve"> can be found on the Commission’s Act 129 Information web page at </w:t>
      </w:r>
      <w:hyperlink r:id="rId1" w:history="1">
        <w:r w:rsidR="00F544A5" w:rsidRPr="00F544A5">
          <w:rPr>
            <w:rStyle w:val="Hyperlink"/>
            <w:rFonts w:ascii="Times New Roman" w:hAnsi="Times New Roman"/>
            <w:sz w:val="22"/>
            <w:szCs w:val="22"/>
          </w:rPr>
          <w:t>http://www.puc.state.pa.us/electric/Act_129_info.aspx</w:t>
        </w:r>
      </w:hyperlink>
      <w:r w:rsidR="00F544A5" w:rsidRPr="00F544A5">
        <w:rPr>
          <w:rFonts w:ascii="Times New Roman" w:hAnsi="Times New Roman"/>
          <w:sz w:val="22"/>
          <w:szCs w:val="22"/>
        </w:rPr>
        <w:t xml:space="preserve"> under the Fuel Switching Working Group heading.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11A2E"/>
    <w:rsid w:val="000436C7"/>
    <w:rsid w:val="000850CF"/>
    <w:rsid w:val="000E3F10"/>
    <w:rsid w:val="001006EA"/>
    <w:rsid w:val="001146FB"/>
    <w:rsid w:val="001209F1"/>
    <w:rsid w:val="00144985"/>
    <w:rsid w:val="001877ED"/>
    <w:rsid w:val="001C2031"/>
    <w:rsid w:val="001E1BF3"/>
    <w:rsid w:val="002116BF"/>
    <w:rsid w:val="002229C3"/>
    <w:rsid w:val="0022434B"/>
    <w:rsid w:val="00254394"/>
    <w:rsid w:val="0029471C"/>
    <w:rsid w:val="00295B21"/>
    <w:rsid w:val="002A2086"/>
    <w:rsid w:val="002F0138"/>
    <w:rsid w:val="002F3C49"/>
    <w:rsid w:val="0031514F"/>
    <w:rsid w:val="00331652"/>
    <w:rsid w:val="003569E8"/>
    <w:rsid w:val="003A2AAD"/>
    <w:rsid w:val="003B577E"/>
    <w:rsid w:val="003B7903"/>
    <w:rsid w:val="003C5914"/>
    <w:rsid w:val="003E0B8E"/>
    <w:rsid w:val="003F5015"/>
    <w:rsid w:val="004661E3"/>
    <w:rsid w:val="00475E7C"/>
    <w:rsid w:val="00492F08"/>
    <w:rsid w:val="004A46FA"/>
    <w:rsid w:val="004D2698"/>
    <w:rsid w:val="0051639C"/>
    <w:rsid w:val="00591C5E"/>
    <w:rsid w:val="005E25C5"/>
    <w:rsid w:val="006755C0"/>
    <w:rsid w:val="00682049"/>
    <w:rsid w:val="00692EF2"/>
    <w:rsid w:val="006E7477"/>
    <w:rsid w:val="0070494E"/>
    <w:rsid w:val="00726420"/>
    <w:rsid w:val="00734D7C"/>
    <w:rsid w:val="007617B1"/>
    <w:rsid w:val="007707FE"/>
    <w:rsid w:val="007A4369"/>
    <w:rsid w:val="007E3089"/>
    <w:rsid w:val="007F7B10"/>
    <w:rsid w:val="00816124"/>
    <w:rsid w:val="008E25CE"/>
    <w:rsid w:val="00901A82"/>
    <w:rsid w:val="0093394F"/>
    <w:rsid w:val="00940C13"/>
    <w:rsid w:val="00973DD6"/>
    <w:rsid w:val="00974097"/>
    <w:rsid w:val="00982639"/>
    <w:rsid w:val="009B23D8"/>
    <w:rsid w:val="009E40EC"/>
    <w:rsid w:val="009F5F66"/>
    <w:rsid w:val="00A150FE"/>
    <w:rsid w:val="00A2588A"/>
    <w:rsid w:val="00A325FC"/>
    <w:rsid w:val="00AC7BE5"/>
    <w:rsid w:val="00BD2AC1"/>
    <w:rsid w:val="00BE4A72"/>
    <w:rsid w:val="00BE5119"/>
    <w:rsid w:val="00C041C7"/>
    <w:rsid w:val="00C141A5"/>
    <w:rsid w:val="00C1763B"/>
    <w:rsid w:val="00C3321B"/>
    <w:rsid w:val="00C74A51"/>
    <w:rsid w:val="00C77F29"/>
    <w:rsid w:val="00C864F4"/>
    <w:rsid w:val="00C90506"/>
    <w:rsid w:val="00CA3444"/>
    <w:rsid w:val="00CB5738"/>
    <w:rsid w:val="00CF047C"/>
    <w:rsid w:val="00D625E2"/>
    <w:rsid w:val="00D63EDD"/>
    <w:rsid w:val="00D71C02"/>
    <w:rsid w:val="00DA2306"/>
    <w:rsid w:val="00DD2671"/>
    <w:rsid w:val="00E15306"/>
    <w:rsid w:val="00E24C6C"/>
    <w:rsid w:val="00E349DA"/>
    <w:rsid w:val="00E378C0"/>
    <w:rsid w:val="00E5798C"/>
    <w:rsid w:val="00E76ACC"/>
    <w:rsid w:val="00E83D7E"/>
    <w:rsid w:val="00EB1F5A"/>
    <w:rsid w:val="00F5312F"/>
    <w:rsid w:val="00F544A5"/>
    <w:rsid w:val="00F635FA"/>
    <w:rsid w:val="00F7094C"/>
    <w:rsid w:val="00F762E5"/>
    <w:rsid w:val="00FA0E37"/>
    <w:rsid w:val="00FA1FD7"/>
    <w:rsid w:val="00FB0FB5"/>
    <w:rsid w:val="00FC7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671"/>
  </w:style>
  <w:style w:type="paragraph" w:styleId="Heading1">
    <w:name w:val="heading 1"/>
    <w:basedOn w:val="Normal"/>
    <w:next w:val="Normal"/>
    <w:qFormat/>
    <w:rsid w:val="00DD267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2671"/>
    <w:pPr>
      <w:ind w:left="360"/>
    </w:pPr>
    <w:rPr>
      <w:sz w:val="24"/>
    </w:rPr>
  </w:style>
  <w:style w:type="paragraph" w:styleId="Header">
    <w:name w:val="header"/>
    <w:basedOn w:val="Normal"/>
    <w:rsid w:val="00DD2671"/>
    <w:pPr>
      <w:tabs>
        <w:tab w:val="center" w:pos="4320"/>
        <w:tab w:val="right" w:pos="8640"/>
      </w:tabs>
    </w:pPr>
  </w:style>
  <w:style w:type="paragraph" w:styleId="Footer">
    <w:name w:val="footer"/>
    <w:basedOn w:val="Normal"/>
    <w:link w:val="FooterChar"/>
    <w:uiPriority w:val="99"/>
    <w:rsid w:val="00DD267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uiPriority w:val="99"/>
    <w:unhideWhenUsed/>
    <w:rsid w:val="002F3C49"/>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2F3C49"/>
    <w:rPr>
      <w:rFonts w:ascii="Calibri" w:eastAsia="Calibri" w:hAnsi="Calibri"/>
    </w:rPr>
  </w:style>
  <w:style w:type="character" w:styleId="FootnoteReference">
    <w:name w:val="footnote reference"/>
    <w:basedOn w:val="DefaultParagraphFont"/>
    <w:uiPriority w:val="99"/>
    <w:unhideWhenUsed/>
    <w:rsid w:val="002F3C49"/>
    <w:rPr>
      <w:vertAlign w:val="superscript"/>
    </w:rPr>
  </w:style>
  <w:style w:type="character" w:styleId="Hyperlink">
    <w:name w:val="Hyperlink"/>
    <w:basedOn w:val="DefaultParagraphFont"/>
    <w:uiPriority w:val="99"/>
    <w:unhideWhenUsed/>
    <w:rsid w:val="002F3C49"/>
    <w:rPr>
      <w:color w:val="0000FF"/>
      <w:u w:val="single"/>
    </w:rPr>
  </w:style>
  <w:style w:type="paragraph" w:styleId="NormalWeb">
    <w:name w:val="Normal (Web)"/>
    <w:basedOn w:val="Normal"/>
    <w:uiPriority w:val="99"/>
    <w:unhideWhenUsed/>
    <w:rsid w:val="002F3C49"/>
    <w:pPr>
      <w:spacing w:before="100" w:beforeAutospacing="1" w:after="100" w:afterAutospacing="1"/>
    </w:pPr>
    <w:rPr>
      <w:sz w:val="24"/>
      <w:szCs w:val="24"/>
    </w:rPr>
  </w:style>
  <w:style w:type="paragraph" w:styleId="ListParagraph">
    <w:name w:val="List Paragraph"/>
    <w:basedOn w:val="Normal"/>
    <w:uiPriority w:val="34"/>
    <w:qFormat/>
    <w:rsid w:val="003A2AAD"/>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531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electric/Act_129_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73C5-0A59-4B2F-AA70-95A10FFA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3</cp:revision>
  <cp:lastPrinted>2010-05-21T11:53:00Z</cp:lastPrinted>
  <dcterms:created xsi:type="dcterms:W3CDTF">2010-05-11T13:59:00Z</dcterms:created>
  <dcterms:modified xsi:type="dcterms:W3CDTF">2010-05-21T11:53:00Z</dcterms:modified>
</cp:coreProperties>
</file>